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1D5D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53A9DC7">
      <w:pPr>
        <w:spacing w:line="540" w:lineRule="exact"/>
        <w:jc w:val="center"/>
        <w:rPr>
          <w:rFonts w:ascii="方正小标宋_GBK" w:hAnsi="华文中宋" w:eastAsia="方正小标宋_GBK" w:cs="宋体"/>
          <w:b/>
          <w:kern w:val="0"/>
          <w:sz w:val="48"/>
          <w:szCs w:val="48"/>
        </w:rPr>
      </w:pPr>
    </w:p>
    <w:p w14:paraId="51237FB1">
      <w:pPr>
        <w:spacing w:line="540" w:lineRule="exact"/>
        <w:jc w:val="center"/>
        <w:rPr>
          <w:rFonts w:ascii="方正小标宋_GBK" w:hAnsi="华文中宋" w:eastAsia="方正小标宋_GBK" w:cs="宋体"/>
          <w:b/>
          <w:kern w:val="0"/>
          <w:sz w:val="48"/>
          <w:szCs w:val="48"/>
        </w:rPr>
      </w:pPr>
    </w:p>
    <w:p w14:paraId="33D57E8B">
      <w:pPr>
        <w:spacing w:line="540" w:lineRule="exact"/>
        <w:jc w:val="center"/>
        <w:rPr>
          <w:rFonts w:ascii="方正小标宋_GBK" w:hAnsi="华文中宋" w:eastAsia="方正小标宋_GBK" w:cs="宋体"/>
          <w:b/>
          <w:kern w:val="0"/>
          <w:sz w:val="48"/>
          <w:szCs w:val="48"/>
        </w:rPr>
      </w:pPr>
    </w:p>
    <w:p w14:paraId="7B06F339">
      <w:pPr>
        <w:spacing w:line="540" w:lineRule="exact"/>
        <w:jc w:val="center"/>
        <w:rPr>
          <w:rFonts w:ascii="方正小标宋_GBK" w:hAnsi="华文中宋" w:eastAsia="方正小标宋_GBK" w:cs="宋体"/>
          <w:b/>
          <w:kern w:val="0"/>
          <w:sz w:val="48"/>
          <w:szCs w:val="48"/>
        </w:rPr>
      </w:pPr>
    </w:p>
    <w:p w14:paraId="27529E51">
      <w:pPr>
        <w:spacing w:line="540" w:lineRule="exact"/>
        <w:jc w:val="center"/>
        <w:rPr>
          <w:rFonts w:ascii="方正小标宋_GBK" w:hAnsi="华文中宋" w:eastAsia="方正小标宋_GBK" w:cs="宋体"/>
          <w:b/>
          <w:kern w:val="0"/>
          <w:sz w:val="48"/>
          <w:szCs w:val="48"/>
        </w:rPr>
      </w:pPr>
    </w:p>
    <w:p w14:paraId="71933EEC">
      <w:pPr>
        <w:spacing w:line="540" w:lineRule="exact"/>
        <w:jc w:val="center"/>
        <w:rPr>
          <w:rFonts w:ascii="方正小标宋_GBK" w:hAnsi="华文中宋" w:eastAsia="方正小标宋_GBK" w:cs="宋体"/>
          <w:b/>
          <w:kern w:val="0"/>
          <w:sz w:val="48"/>
          <w:szCs w:val="48"/>
        </w:rPr>
      </w:pPr>
    </w:p>
    <w:p w14:paraId="36AFBF5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77771AC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7B452A4F">
      <w:pPr>
        <w:spacing w:line="540" w:lineRule="exact"/>
        <w:jc w:val="center"/>
        <w:rPr>
          <w:rFonts w:ascii="华文中宋" w:hAnsi="华文中宋" w:eastAsia="华文中宋" w:cs="宋体"/>
          <w:b/>
          <w:kern w:val="0"/>
          <w:sz w:val="52"/>
          <w:szCs w:val="52"/>
        </w:rPr>
      </w:pPr>
    </w:p>
    <w:p w14:paraId="6C2548B1">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9B10FED">
      <w:pPr>
        <w:spacing w:line="700" w:lineRule="exact"/>
        <w:jc w:val="left"/>
        <w:rPr>
          <w:rFonts w:hint="eastAsia" w:hAnsi="宋体" w:eastAsia="仿宋_GB2312" w:cs="宋体"/>
          <w:kern w:val="0"/>
          <w:sz w:val="36"/>
          <w:szCs w:val="36"/>
        </w:rPr>
      </w:pPr>
    </w:p>
    <w:p w14:paraId="5C1BA2D7">
      <w:pPr>
        <w:spacing w:line="700" w:lineRule="exact"/>
        <w:jc w:val="left"/>
        <w:rPr>
          <w:rFonts w:hint="eastAsia" w:hAnsi="宋体" w:eastAsia="仿宋_GB2312" w:cs="宋体"/>
          <w:kern w:val="0"/>
          <w:sz w:val="36"/>
          <w:szCs w:val="36"/>
        </w:rPr>
      </w:pPr>
    </w:p>
    <w:p w14:paraId="1B25DA31">
      <w:pPr>
        <w:spacing w:line="700" w:lineRule="exact"/>
        <w:jc w:val="left"/>
        <w:rPr>
          <w:rFonts w:hint="eastAsia" w:hAnsi="宋体" w:eastAsia="仿宋_GB2312" w:cs="宋体"/>
          <w:kern w:val="0"/>
          <w:sz w:val="36"/>
          <w:szCs w:val="36"/>
          <w:lang w:eastAsia="zh-CN"/>
        </w:rPr>
      </w:pPr>
    </w:p>
    <w:p w14:paraId="2DD3DB45">
      <w:pPr>
        <w:spacing w:line="700" w:lineRule="exact"/>
        <w:jc w:val="left"/>
        <w:rPr>
          <w:rFonts w:hint="eastAsia" w:hAnsi="宋体" w:eastAsia="仿宋_GB2312" w:cs="宋体"/>
          <w:kern w:val="0"/>
          <w:sz w:val="36"/>
          <w:szCs w:val="36"/>
          <w:lang w:eastAsia="zh-CN"/>
        </w:rPr>
      </w:pPr>
    </w:p>
    <w:p w14:paraId="744F271E">
      <w:pPr>
        <w:spacing w:line="700" w:lineRule="exact"/>
        <w:jc w:val="left"/>
        <w:rPr>
          <w:rFonts w:hint="eastAsia" w:hAnsi="宋体" w:eastAsia="仿宋_GB2312" w:cs="宋体"/>
          <w:kern w:val="0"/>
          <w:sz w:val="36"/>
          <w:szCs w:val="36"/>
          <w:lang w:eastAsia="zh-CN"/>
        </w:rPr>
      </w:pPr>
    </w:p>
    <w:p w14:paraId="09D34B33">
      <w:pPr>
        <w:spacing w:line="700" w:lineRule="exact"/>
        <w:jc w:val="left"/>
        <w:rPr>
          <w:rFonts w:hint="eastAsia" w:hAnsi="宋体" w:eastAsia="仿宋_GB2312" w:cs="宋体"/>
          <w:kern w:val="0"/>
          <w:sz w:val="36"/>
          <w:szCs w:val="36"/>
          <w:lang w:eastAsia="zh-CN"/>
        </w:rPr>
      </w:pPr>
    </w:p>
    <w:p w14:paraId="7FE891ED">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克州组织部</w:t>
      </w:r>
    </w:p>
    <w:p w14:paraId="0435904A">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FAF5139">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AB4FCC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C42EBD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党的组织制度、基层组织和党员队伍、领导班子和领导干部队伍特别是优秀年轻干部队伍、公务员队伍的建设；负责人才工作；负责干部队伍建设宏观指导和干部教育培训、管理监督、干部考核工作；负责干部人才援疆工作；负责党的建设和组织工作研究；负责农村党员干部远程教育的规划、指导、检查、培训等相关业务；完成自治州党委交办的其他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克州党委组织部为行政单位，本级内设14个科室，负责管理3个事业单位：自治州党员教育中心、自治州人才援疆服务中心、自治州基层群众工作服务中心。克州党委组织部编制数84人，年末实有人数54人，其中：在职53人，退休1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严格选人用人程序，努力建设高素质专业化干部队伍。突出政治标准，实施领导班子和领导干部政治素质考察，严格落实“凡提四必”“凡提必核”“双签字”等规定程序，强化选人用人导向，激励干部担当作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抓基层强基础，进一步建强基层战斗堡垒。落实村党组织书记县级备案管理和村干部县级连审机制，选派优秀年轻干部充实村“两委”班子。积极开展村级干部教育培训，确保确保培训教育全覆盖。狠抓重点工作，持续整顿软弱基层党组织，持续壮大村级集体经济。健全组织体系，深化城市基层党建新格局，力促决战决胜脱贫攻坚。精心组织谋划，做好换届准备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优化人才机制，凝聚发展所需人才。推动“人才强州”战略有效实施，落实党政领导干部联系专家制度，积极争取援疆人才发展资金支持，畅通引才渠道，实施帕米尔“3123”人才培育计划和帕米尔紧缺人才引进计划，采取“走出去+请进来”模式，选派干部赴援疆省市跟班进修，提升克州干部整体素质和能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聚焦主责主业，努力打造模范组织部门。扎实推进</w:t>
      </w:r>
      <w:r>
        <w:rPr>
          <w:rFonts w:hint="eastAsia" w:ascii="仿宋_GB2312" w:hAnsi="宋体" w:eastAsia="仿宋_GB2312"/>
          <w:b w:val="0"/>
          <w:bCs/>
          <w:sz w:val="32"/>
          <w:szCs w:val="32"/>
          <w:lang w:eastAsia="zh-CN"/>
        </w:rPr>
        <w:t>理论学习中心组</w:t>
      </w:r>
      <w:r>
        <w:rPr>
          <w:rFonts w:hint="eastAsia" w:ascii="仿宋_GB2312" w:hAnsi="宋体" w:eastAsia="仿宋_GB2312"/>
          <w:b w:val="0"/>
          <w:bCs/>
          <w:sz w:val="32"/>
          <w:szCs w:val="32"/>
        </w:rPr>
        <w:t>学习、集中学习、务虚讨论会、月工作例会等，以集中学习、理论测试、读书交流、知识竞赛等活动为载体，丰富组工文化。强化制度落实，加强组织纪律性。坚持量才使用，激发干部队伍活力。突出实践历练，提升干部综合能力。加强关心关爱，营造良好氛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组织部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（2）收支管理：领导层是本单位收支业务管理的决策部门，负责审批单位收支业务等事项。涉及“三重一大”事项，根据《克州组党委织部集体决策制度》和《克州党委组织部项目管理办法》办理。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党委组织部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党委组织部合同管理办法》相关规定，克州组织部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1,474.32万元，项目支出安排资金1,209.43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本单位2021年度项目支出1209.43万元，涉及项目数量16个，其中：重点项目支出587万元，涉及重点项目数量1个，重点项目支出与部门项目总支出的比率为48.54%。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2021年度本单位年初批复部门预算资金总额为1721.13万元，年中调增预算总额为1379.31万元，调整后全年预算资金总额为3100.44万元。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2021年度本单位部门整体支出资金总额为2683.75万元，预算执行率为86.56%，预算调整率为</w:t>
      </w:r>
      <w:r>
        <w:rPr>
          <w:rFonts w:hint="eastAsia" w:ascii="仿宋_GB2312" w:hAnsi="宋体" w:eastAsia="仿宋_GB2312"/>
          <w:b w:val="0"/>
          <w:bCs/>
          <w:sz w:val="32"/>
          <w:szCs w:val="32"/>
          <w:lang w:val="en-US" w:eastAsia="zh-CN"/>
        </w:rPr>
        <w:t>80.14</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年初政府采购预算数为187.4万元，实际政府采购数为155.46万元，政府采购执行率为82.96%。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04E7FDA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4AA6CC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为加强我单位预算管理、规范财务行为我单位制定了《克州党委组织部内部控制规范》《克州党委组织部项目管理规范》等资金管理制度，已建立制度均健全且有效运行。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2021年度我单位基本支出预算总额为1,891.01万元，其中人员经费994.64万元，公用经费896.37万元。实际执行总额为1,474.32万元，预算执行率77.96%。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31.61万元，比上年增加0.07万元，增加0.21%，主要原因是：由于2020年疫情原因单位接待次数较少，随之产生的接待费用也较少。其中，因公出国（境）费支出0万元；公务用车购置及运行维护费支出21.88万元；公务接待费支出9.73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与年初预算数相比情况：一般公共预算“三公”经费支出年初预算数36.8万元，预算执行数为31.54万元，执行率为85.71%，主要原因是：按照厉行节约的要求，2021年缩减公务车运行维护费，因此支出随之减少。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2021年度本单位项目支出预算总额为2399.87万元，实际执行资金总额为1209.42万元，预算执行率为50.40%。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2021年度预算安排专项资金1463.96万元，实际支出资金324.79万元，预算执行率为22.19%，涉及项目个数6个。专项经费按照政策要求实行专款专用，不存在截留、挤占、挪用、虚列支出。各项目详细执行情况如下：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自治区“访惠聚”表彰奖励项目:全年预算数为61.60万元，预算执行数为61.60万元，预算执行率为100%。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招录驻疆部队退役士兵充实南疆乡镇专项资金项目:全年预算数为287万元，预算执行数为217.02万元，预算执行率为75.62%。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援疆干部人才医疗费项目:全年预算数为23.10万元，预算执行数为3.9万元，预算执行率为16.88%。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2019年度自治区人才发展专项资金项目:全年预算数为1050万元，预算执行数为0万元，预算执行率为0%。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2019年招录留疆战士初任培训工作经费项目:全年预算数为3.88万元，预算执行数为3.88万元，预算执行率为100%。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第一书记工作经费、为民办实事工作经费项目:全年预算数为38.38万元，预算执行数为38.38万元，预算执行率为100%。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2021年度预算安排本级财力资金935.91万元，实际支出资金884.64万元，预算执行率为94.52%，涉及项目个数10个，各项目详细执行情况如下：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基层组织工作经费项目:全年预算数为40万元，预算执行数为40万元，预算执行率为100%。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援疆工作经费项目:全年预算数为25万元，预算执行数为21.66万元，预算执行率为86.65%。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远程工作经费项目:全年预算数为10万元，预算执行数为9.28万元，预算执行率为92.80%。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民族团结一家亲活动经费项目:全年预算数为50万元，预算执行数为50万元，预算执行率为100%。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群众工作经费项目:全年预算数为14万元，预算执行数为14万元，预算执行率为100%。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援疆干部伙食补助经费项目:全年预算数为28.11万元，预算执行数为28.11万元，预算执行率为100%。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自治区“访惠聚”驻村工作2020年度先进个人和第一书记表彰资金项目:全年预算数为30.20万元，预算执行数为30.20万元，预算执行率为100%。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民族团结一家亲活动经费项目:全年预算数为18.60万元，预算执行数为18.60万元，预算执行率为100%。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内招生购房补贴项目:全年预算数为600万元，预算执行数为587万元，预算执行率为97.83%。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访惠聚工作经费项目:全年预算数为120万元，预算执行数为85.79万元，预算执行率为71.49%。</w:t>
      </w:r>
    </w:p>
    <w:p w14:paraId="29F5325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6D8E4F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22.19%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自治区“访惠聚”表彰奖励项目:自治区“访惠聚”驻村工作2018年度、2019年度表彰感谢信。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招录驻疆部队退役士兵充实南疆乡镇专项资金项目:该文件涉密。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援疆干部人才医疗费项目:自治区援疆干部医疗费用管理暂行办法（新财行[2019]123号）。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2019年度自治区人才发展专项资金项目:《关于安排2019年度自治区人才发展专项资金的通知》(新财行[2020]95号)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2019年招录留疆战士初任培训工作经费项目:该文件涉密。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6项专项，总投入共计1463.96万元，资金全部到位，实际使用资金324.78万元，专项资金执行率为22.19%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①制订《克州党委组织部经费使用规范》,为合理合规使用经费提供了有力的制度保障。同时,建立区委组织部项目经费内部管控制度，并严格按要求落实。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成本节约：我单位6个项目成本均未超预算，预算执行率达22.19%。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自治区“访惠聚”表彰奖励项目:主要用于表彰2018年度、2019年度驻村工作先进集体先进个人、优秀组织单位和深度贫困村第一书记先进个人的决定。有利于弘扬正气、鼓舞斗志，激励各级党组织和广大党员对标对表、履职尽责、义务反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招录驻疆部队退役士兵充实南疆乡镇专项资金项目:主要用于做好2020年招录驻疆部队退役士兵充实南疆乡镇工作招录、培训相关工作。有利于进一步加强南疆基层干部队伍建设，提高基层干部队伍整体素质和作风。</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援疆干部人才医疗费项目:主要用于保障援疆干部人才在援疆期间医疗待遇，有利于为援疆干部人才在克州服务奉献、建功立业提供医疗保障。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度自治区人才发展专项资金项目:主要用于乡村人才振兴示范项目：紧紧围绕决战决胜脱贫攻坚，设立南疆四地州乡村人才振兴示范项目，支持实施农村实用人才带头人培训计划和“一户一个”明白人培训工程，推进打赢脱贫攻坚战，稳定巩固脱贫成。该笔资金未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2019年招录留疆战士初任培训工作经费项目:主要用于做好2020年招录驻疆部队退役士兵充实南疆乡镇工作招录、培训相关工作。有利于进一步加强南疆基层干部队伍建设，提高基层干部队伍整体素质和作风。</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14:paraId="15D37D7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568385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本单位2021年初资产合计数为496.41万元，年末资产合计数为615.31万元。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截止本年度固定资产账面净值190.31万元，年末实际在用固定资产190.31万元，固定资产利用率为100%。</w:t>
      </w:r>
    </w:p>
    <w:p w14:paraId="78CFB9A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98BCBC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部门单位整体支出共设置一级指标3个，二级指标7个，三级指标17个，其中已完成三级指标16个，指标完成率为94.12%。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“人员数量（人）”指标：预期指标值为&gt;=57人，实际完成指标值为54人，指标完成率为94.73%。偏差原因：2021年辞职4人，调走2人，调入4人。改进措施：做好年初预算。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“访惠聚驻村工作队人数（人）”指标：预期指标值为&gt;=12人，实际完成指标值为12人，指标完成率为100%。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“访惠聚办、团结办抽调干部人数（人）”指标：预期指标值为&gt;=15人，实际完成指标值为&gt;=15，指标完成率为100%。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“州直单位援疆干部人数（人）”指标：预期指标值为=77人，实际完成指标值为77人，指标完成率为100%。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“车辆运行数（辆）”指标：预期指标值为=6辆，实际完成指标值为6辆，指标完成率为100%。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“人员经费（万元）”指标：预期指标值为=733.35万元，实际完成指标值为733.35万元，指标完成率为100%。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“公用经费（万元）”指标：预期指标值为=103.88万元，实际完成指标值为103.88万元，指标完成率为100%。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“项目支出（万元）”指标：预期指标值为=883.90万元，实际完成指标值为883.90万元，指标完成率为100%。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“日常工作服务保障能力”指标：预期指标值为有效保障，实际完成指标值为有效保障，指标完成率为100%。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“各级干部开展工作效率情况”指标：预期指标值为有效提升，实际完成指标值为有效提升，指标完成率为100%。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“基层组织建设、援疆工作、党员干部等工作开展情况”指标：预期指标值为效果显著，实际完成指标值为效果显著，指标完成率为100%。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“机关干部、人才等工作效率情况”指标：预期指标值为有效提高，实际完成指标值为有效提高，指标完成率为100%。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“受益基层党员满意度（%）”指标：预期指标值为&gt;=95%，实际完成指标值为95%，指标完成率为100%。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“受益援疆干部、人才、内招生等满意度（%）”指标：预期指标值为&gt;=95%，实际完成指标值为95%，指标完成率为100%。</w:t>
      </w:r>
    </w:p>
    <w:p w14:paraId="545153A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A0A74C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33C9DE8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0FC019D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25E66F8"/>
    <w:rsid w:val="1438599A"/>
    <w:rsid w:val="14BE1EB5"/>
    <w:rsid w:val="200F4073"/>
    <w:rsid w:val="24B86128"/>
    <w:rsid w:val="4B6002C6"/>
    <w:rsid w:val="50093A17"/>
    <w:rsid w:val="51C70EA9"/>
    <w:rsid w:val="54F842B6"/>
    <w:rsid w:val="61BE63A4"/>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10782</Words>
  <Characters>11492</Characters>
  <Lines>2</Lines>
  <Paragraphs>1</Paragraphs>
  <TotalTime>0</TotalTime>
  <ScaleCrop>false</ScaleCrop>
  <LinksUpToDate>false</LinksUpToDate>
  <CharactersWithSpaces>11828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2025-07-31T03:08:37Z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